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90D12">
      <w:pPr>
        <w:spacing w:line="440" w:lineRule="atLeast"/>
        <w:jc w:val="center"/>
        <w:rPr>
          <w:b/>
          <w:color w:val="FF0000"/>
          <w:sz w:val="36"/>
          <w:szCs w:val="36"/>
          <w:lang w:eastAsia="zh-CN"/>
        </w:rPr>
      </w:pPr>
      <w:bookmarkStart w:id="5" w:name="_GoBack"/>
      <w:bookmarkEnd w:id="5"/>
      <w:r>
        <w:rPr>
          <w:rFonts w:hint="eastAsia"/>
          <w:b/>
          <w:color w:val="FF0000"/>
          <w:sz w:val="36"/>
          <w:szCs w:val="36"/>
          <w:lang w:eastAsia="zh-CN"/>
        </w:rPr>
        <w:t>中国地质大学(北京)经济管理学院文件</w:t>
      </w:r>
    </w:p>
    <w:p w14:paraId="4E316366">
      <w:pPr>
        <w:spacing w:line="20" w:lineRule="atLeast"/>
        <w:jc w:val="center"/>
        <w:rPr>
          <w:rFonts w:ascii="仿宋_GB2312" w:eastAsia="仿宋_GB2312"/>
          <w:sz w:val="30"/>
          <w:szCs w:val="30"/>
          <w:lang w:eastAsia="zh-CN"/>
        </w:rPr>
      </w:pPr>
    </w:p>
    <w:p w14:paraId="697BA306">
      <w:pPr>
        <w:spacing w:line="20" w:lineRule="atLeast"/>
        <w:jc w:val="center"/>
        <w:rPr>
          <w:rFonts w:ascii="仿宋_GB2312" w:eastAsia="仿宋_GB2312"/>
          <w:sz w:val="32"/>
          <w:szCs w:val="30"/>
          <w:lang w:eastAsia="zh-CN"/>
        </w:rPr>
      </w:pPr>
      <w:r>
        <w:rPr>
          <w:rFonts w:hint="eastAsia" w:ascii="仿宋_GB2312" w:eastAsia="仿宋_GB2312"/>
          <w:sz w:val="32"/>
          <w:szCs w:val="30"/>
          <w:lang w:eastAsia="zh-CN"/>
        </w:rPr>
        <w:t xml:space="preserve">经管发〔2025〕 </w:t>
      </w:r>
      <w:r>
        <w:rPr>
          <w:rFonts w:ascii="仿宋_GB2312" w:eastAsia="仿宋_GB2312"/>
          <w:sz w:val="32"/>
          <w:szCs w:val="30"/>
          <w:lang w:eastAsia="zh-CN"/>
        </w:rPr>
        <w:t>13</w:t>
      </w:r>
      <w:r>
        <w:rPr>
          <w:rFonts w:hint="eastAsia" w:ascii="仿宋_GB2312" w:eastAsia="仿宋_GB2312"/>
          <w:sz w:val="32"/>
          <w:szCs w:val="30"/>
          <w:lang w:eastAsia="zh-CN"/>
        </w:rPr>
        <w:t xml:space="preserve"> 号</w:t>
      </w:r>
    </w:p>
    <w:p w14:paraId="0E38FE3D">
      <w:pPr>
        <w:tabs>
          <w:tab w:val="left" w:pos="825"/>
          <w:tab w:val="center" w:pos="4422"/>
        </w:tabs>
        <w:spacing w:line="300" w:lineRule="auto"/>
        <w:rPr>
          <w:b/>
          <w:sz w:val="30"/>
          <w:szCs w:val="30"/>
          <w:lang w:eastAsia="zh-CN"/>
        </w:rPr>
      </w:pPr>
    </w:p>
    <w:p w14:paraId="5F2D2321">
      <w:pPr>
        <w:tabs>
          <w:tab w:val="left" w:pos="825"/>
          <w:tab w:val="center" w:pos="4422"/>
        </w:tabs>
        <w:spacing w:line="300" w:lineRule="auto"/>
        <w:jc w:val="center"/>
        <w:rPr>
          <w:b/>
          <w:sz w:val="30"/>
          <w:szCs w:val="30"/>
          <w:lang w:eastAsia="zh-CN"/>
        </w:rPr>
      </w:pPr>
      <w:r>
        <w:rPr>
          <w:rFonts w:eastAsia="方正大标宋简体"/>
          <w:b/>
          <w:bCs/>
          <w:sz w:val="30"/>
          <w:szCs w:val="30"/>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-99060</wp:posOffset>
                </wp:positionV>
                <wp:extent cx="54864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486400" cy="0"/>
                        </a:xfrm>
                        <a:prstGeom prst="line">
                          <a:avLst/>
                        </a:prstGeom>
                        <a:ln w="952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0.6pt;margin-top:-7.8pt;height:0pt;width:432pt;z-index:251659264;mso-width-relative:page;mso-height-relative:page;" filled="f" stroked="t" coordsize="21600,21600" o:gfxdata="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AcGQKdQAAAAJAQAADwAAAAAAAAABACAAAAAiAAAAZHJzL2Rvd25yZXYueG1sUEsBAhQAFAAAAAgA&#10;h07iQH+v1SLwAQAA2AMAAA4AAAAAAAAAAQAgAAAAIwEAAGRycy9lMm9Eb2MueG1sUEsFBgAAAAAG&#10;AAYAWQEAAIUFAAAAAA==&#10;">
                <v:fill on="f" focussize="0,0"/>
                <v:stroke color="#FF0000" joinstyle="round"/>
                <v:imagedata o:title=""/>
                <o:lock v:ext="edit" aspectratio="f"/>
              </v:line>
            </w:pict>
          </mc:Fallback>
        </mc:AlternateContent>
      </w:r>
      <w:r>
        <w:rPr>
          <w:rFonts w:eastAsia="方正大标宋简体"/>
          <w:b/>
          <w:bCs/>
          <w:sz w:val="30"/>
          <w:szCs w:val="30"/>
        </w:rPr>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-99060</wp:posOffset>
                </wp:positionV>
                <wp:extent cx="5486400"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5486400" cy="0"/>
                        </a:xfrm>
                        <a:prstGeom prst="line">
                          <a:avLst/>
                        </a:prstGeom>
                        <a:ln w="952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0.6pt;margin-top:-7.8pt;height:0pt;width:432pt;z-index:251660288;mso-width-relative:page;mso-height-relative:page;" filled="f" stroked="t" coordsize="21600,21600" o:gfxdata="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B&#10;wZAp1AAAAAkBAAAPAAAAAAAAAAEAIAAAACIAAABkcnMvZG93bnJldi54bWxQSwECFAAUAAAACACH&#10;TuJA1NL9fO8BAADYAwAADgAAAAAAAAABACAAAAAjAQAAZHJzL2Uyb0RvYy54bWxQSwUGAAAAAAYA&#10;BgBZAQAAhAUAAAAA&#10;">
                <v:fill on="f" focussize="0,0"/>
                <v:stroke color="#FF0000" joinstyle="round"/>
                <v:imagedata o:title=""/>
                <o:lock v:ext="edit" aspectratio="f"/>
              </v:line>
            </w:pict>
          </mc:Fallback>
        </mc:AlternateContent>
      </w:r>
      <w:r>
        <w:rPr>
          <w:sz w:val="30"/>
          <w:szCs w:val="30"/>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-99060</wp:posOffset>
                </wp:positionV>
                <wp:extent cx="54864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486400" cy="0"/>
                        </a:xfrm>
                        <a:prstGeom prst="line">
                          <a:avLst/>
                        </a:prstGeom>
                        <a:ln w="952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0.6pt;margin-top:-7.8pt;height:0pt;width:432pt;z-index:251661312;mso-width-relative:page;mso-height-relative:page;" filled="f" stroked="t" coordsize="21600,21600" o:gfxdata="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B&#10;wZAp1AAAAAkBAAAPAAAAAAAAAAEAIAAAACIAAABkcnMvZG93bnJldi54bWxQSwECFAAUAAAACACH&#10;TuJAd5QBAu8BAADYAwAADgAAAAAAAAABACAAAAAjAQAAZHJzL2Uyb0RvYy54bWxQSwUGAAAAAAYA&#10;BgBZAQAAhAUAAAAA&#10;">
                <v:fill on="f" focussize="0,0"/>
                <v:stroke color="#FF0000" joinstyle="round"/>
                <v:imagedata o:title=""/>
                <o:lock v:ext="edit" aspectratio="f"/>
              </v:line>
            </w:pict>
          </mc:Fallback>
        </mc:AlternateContent>
      </w:r>
      <w:r>
        <w:rPr>
          <w:sz w:val="30"/>
          <w:szCs w:val="30"/>
        </w:rPr>
        <mc:AlternateContent>
          <mc:Choice Requires="wps">
            <w:drawing>
              <wp:anchor distT="0" distB="0" distL="114300" distR="114300" simplePos="0" relativeHeight="251662336" behindDoc="0" locked="0" layoutInCell="1" allowOverlap="1">
                <wp:simplePos x="0" y="0"/>
                <wp:positionH relativeFrom="column">
                  <wp:posOffset>7620</wp:posOffset>
                </wp:positionH>
                <wp:positionV relativeFrom="paragraph">
                  <wp:posOffset>-99060</wp:posOffset>
                </wp:positionV>
                <wp:extent cx="54864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486400" cy="0"/>
                        </a:xfrm>
                        <a:prstGeom prst="line">
                          <a:avLst/>
                        </a:prstGeom>
                        <a:ln w="952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0.6pt;margin-top:-7.8pt;height:0pt;width:432pt;z-index:251662336;mso-width-relative:page;mso-height-relative:page;" filled="f" stroked="t" coordsize="21600,21600" o:gfxdata="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B&#10;wZAp1AAAAAkBAAAPAAAAAAAAAAEAIAAAACIAAABkcnMvZG93bnJldi54bWxQSwECFAAUAAAACACH&#10;TuJAihJ54O8BAADYAwAADgAAAAAAAAABACAAAAAjAQAAZHJzL2Uyb0RvYy54bWxQSwUGAAAAAAYA&#10;BgBZAQAAhAUAAAAA&#10;">
                <v:fill on="f" focussize="0,0"/>
                <v:stroke color="#FF0000" joinstyle="round"/>
                <v:imagedata o:title=""/>
                <o:lock v:ext="edit" aspectratio="f"/>
              </v:line>
            </w:pict>
          </mc:Fallback>
        </mc:AlternateContent>
      </w:r>
    </w:p>
    <w:p w14:paraId="0D80CEEB">
      <w:pPr>
        <w:spacing w:before="139" w:line="198" w:lineRule="auto"/>
        <w:ind w:left="1536"/>
        <w:rPr>
          <w:rFonts w:ascii="方正小标宋简体" w:hAnsi="方正小标宋简体" w:eastAsia="方正小标宋简体" w:cs="方正小标宋简体"/>
          <w:sz w:val="36"/>
          <w:szCs w:val="36"/>
          <w:lang w:eastAsia="zh-CN"/>
        </w:rPr>
      </w:pPr>
      <w:r>
        <w:rPr>
          <w:rFonts w:ascii="方正小标宋简体" w:hAnsi="方正小标宋简体" w:eastAsia="方正小标宋简体" w:cs="方正小标宋简体"/>
          <w:spacing w:val="29"/>
          <w:sz w:val="36"/>
          <w:szCs w:val="36"/>
          <w:lang w:eastAsia="zh-CN"/>
        </w:rPr>
        <w:t>中国地质大学(北京)经济管理学院</w:t>
      </w:r>
    </w:p>
    <w:p w14:paraId="663D2AA5">
      <w:pPr>
        <w:spacing w:before="79" w:line="230" w:lineRule="auto"/>
        <w:ind w:left="1523"/>
        <w:outlineLvl w:val="0"/>
        <w:rPr>
          <w:rFonts w:ascii="方正小标宋简体" w:hAnsi="方正小标宋简体" w:eastAsia="方正小标宋简体" w:cs="方正小标宋简体"/>
          <w:sz w:val="36"/>
          <w:szCs w:val="36"/>
          <w:lang w:eastAsia="zh-CN"/>
        </w:rPr>
      </w:pPr>
      <w:r>
        <w:rPr>
          <w:rFonts w:ascii="方正小标宋简体" w:hAnsi="方正小标宋简体" w:eastAsia="方正小标宋简体" w:cs="方正小标宋简体"/>
          <w:spacing w:val="-1"/>
          <w:sz w:val="36"/>
          <w:szCs w:val="36"/>
          <w:lang w:eastAsia="zh-CN"/>
        </w:rPr>
        <w:t>本科生国家励志奖学金评定实施细则</w:t>
      </w:r>
    </w:p>
    <w:p w14:paraId="21996BBD">
      <w:pPr>
        <w:spacing w:line="326" w:lineRule="auto"/>
        <w:rPr>
          <w:rFonts w:eastAsiaTheme="minorEastAsia"/>
          <w:lang w:eastAsia="zh-CN"/>
        </w:rPr>
      </w:pPr>
    </w:p>
    <w:p w14:paraId="0BE2FE75">
      <w:pPr>
        <w:spacing w:line="580" w:lineRule="exact"/>
        <w:jc w:val="center"/>
        <w:outlineLvl w:val="0"/>
        <w:rPr>
          <w:rFonts w:ascii="黑体" w:hAnsi="黑体" w:eastAsia="黑体" w:cs="黑体"/>
          <w:spacing w:val="-3"/>
          <w:sz w:val="32"/>
          <w:szCs w:val="32"/>
          <w:lang w:eastAsia="zh-CN"/>
        </w:rPr>
      </w:pPr>
      <w:r>
        <w:rPr>
          <w:rFonts w:ascii="黑体" w:hAnsi="黑体" w:eastAsia="黑体" w:cs="黑体"/>
          <w:spacing w:val="-3"/>
          <w:sz w:val="32"/>
          <w:szCs w:val="32"/>
          <w:lang w:eastAsia="zh-CN"/>
        </w:rPr>
        <w:t>第</w:t>
      </w:r>
      <w:r>
        <w:rPr>
          <w:rFonts w:hint="eastAsia" w:ascii="黑体" w:hAnsi="黑体" w:eastAsia="黑体" w:cs="黑体"/>
          <w:spacing w:val="-3"/>
          <w:sz w:val="32"/>
          <w:szCs w:val="32"/>
          <w:lang w:eastAsia="zh-CN"/>
        </w:rPr>
        <w:t>一</w:t>
      </w:r>
      <w:r>
        <w:rPr>
          <w:rFonts w:ascii="黑体" w:hAnsi="黑体" w:eastAsia="黑体" w:cs="黑体"/>
          <w:spacing w:val="-3"/>
          <w:sz w:val="32"/>
          <w:szCs w:val="32"/>
          <w:lang w:eastAsia="zh-CN"/>
        </w:rPr>
        <w:t>章  总  则</w:t>
      </w:r>
    </w:p>
    <w:p w14:paraId="03F51310">
      <w:pPr>
        <w:pStyle w:val="2"/>
        <w:spacing w:line="570" w:lineRule="exact"/>
        <w:ind w:firstLine="641"/>
        <w:rPr>
          <w:lang w:eastAsia="zh-CN"/>
        </w:rPr>
      </w:pPr>
      <w:r>
        <w:rPr>
          <w:lang w:eastAsia="zh-CN"/>
        </w:rPr>
        <w:t>第一条  为进一步规范学院本科生国家励志奖学金评审工作，激励我院家庭经济困难学生勤奋学习、努力进取，德、智、体、美、劳全面发展，根据《中国地质大学（北京）本科生国家励志奖学金管理实施办法》（</w:t>
      </w:r>
      <w:bookmarkStart w:id="0" w:name="OLE_LINK2"/>
      <w:bookmarkStart w:id="1" w:name="OLE_LINK1"/>
      <w:r>
        <w:rPr>
          <w:lang w:eastAsia="zh-CN"/>
        </w:rPr>
        <w:t>中地大京发〔202</w:t>
      </w:r>
      <w:r>
        <w:rPr>
          <w:rFonts w:hint="eastAsia"/>
          <w:lang w:eastAsia="zh-CN"/>
        </w:rPr>
        <w:t>5</w:t>
      </w:r>
      <w:r>
        <w:rPr>
          <w:lang w:eastAsia="zh-CN"/>
        </w:rPr>
        <w:t>〕</w:t>
      </w:r>
      <w:r>
        <w:rPr>
          <w:rFonts w:hint="eastAsia"/>
          <w:lang w:eastAsia="zh-CN"/>
        </w:rPr>
        <w:t>51</w:t>
      </w:r>
      <w:r>
        <w:rPr>
          <w:lang w:eastAsia="zh-CN"/>
        </w:rPr>
        <w:t>号</w:t>
      </w:r>
      <w:bookmarkEnd w:id="0"/>
      <w:bookmarkEnd w:id="1"/>
      <w:r>
        <w:rPr>
          <w:lang w:eastAsia="zh-CN"/>
        </w:rPr>
        <w:t>）文件精神，结合我院实际情况，制定本办法。</w:t>
      </w:r>
    </w:p>
    <w:p w14:paraId="151712DB">
      <w:pPr>
        <w:widowControl w:val="0"/>
        <w:tabs>
          <w:tab w:val="left" w:pos="0"/>
        </w:tabs>
        <w:kinsoku/>
        <w:adjustRightInd/>
        <w:snapToGrid/>
        <w:spacing w:line="570" w:lineRule="exact"/>
        <w:ind w:firstLine="641"/>
        <w:jc w:val="both"/>
        <w:textAlignment w:val="auto"/>
        <w:rPr>
          <w:rFonts w:ascii="仿宋_GB2312" w:hAnsi="??" w:eastAsia="仿宋_GB2312" w:cs="??"/>
          <w:snapToGrid/>
          <w:kern w:val="2"/>
          <w:sz w:val="32"/>
          <w:szCs w:val="32"/>
          <w:lang w:eastAsia="zh-CN" w:bidi="ar"/>
        </w:rPr>
      </w:pPr>
      <w:r>
        <w:rPr>
          <w:rFonts w:hint="eastAsia" w:ascii="仿宋_GB2312" w:hAnsi="??" w:eastAsia="仿宋_GB2312" w:cs="??"/>
          <w:snapToGrid/>
          <w:kern w:val="2"/>
          <w:sz w:val="32"/>
          <w:szCs w:val="32"/>
          <w:lang w:eastAsia="zh-CN" w:bidi="ar"/>
        </w:rPr>
        <w:t>第二条  本科生国家励志奖学金所需资金由中央财政负担，用于奖励资助全日制本科生（含第二学士学位）中品学兼优的家庭经济困难学生。</w:t>
      </w:r>
    </w:p>
    <w:p w14:paraId="627000DE">
      <w:pPr>
        <w:spacing w:line="580" w:lineRule="exact"/>
        <w:jc w:val="center"/>
        <w:outlineLvl w:val="0"/>
        <w:rPr>
          <w:rFonts w:ascii="黑体" w:hAnsi="黑体" w:eastAsia="黑体" w:cs="黑体"/>
          <w:spacing w:val="-3"/>
          <w:sz w:val="32"/>
          <w:szCs w:val="32"/>
          <w:lang w:eastAsia="zh-CN"/>
        </w:rPr>
      </w:pPr>
      <w:r>
        <w:rPr>
          <w:rFonts w:ascii="黑体" w:hAnsi="黑体" w:eastAsia="黑体" w:cs="黑体"/>
          <w:spacing w:val="-3"/>
          <w:sz w:val="32"/>
          <w:szCs w:val="32"/>
          <w:lang w:eastAsia="zh-CN"/>
        </w:rPr>
        <w:t>第二章  奖励标准与申请条件</w:t>
      </w:r>
    </w:p>
    <w:p w14:paraId="45CA61F8">
      <w:pPr>
        <w:pStyle w:val="2"/>
        <w:spacing w:line="570" w:lineRule="exact"/>
        <w:ind w:firstLine="641"/>
        <w:rPr>
          <w:lang w:eastAsia="zh-CN"/>
        </w:rPr>
      </w:pPr>
      <w:r>
        <w:rPr>
          <w:lang w:eastAsia="zh-CN"/>
        </w:rPr>
        <w:t>第三条  本科生国家励志奖学金的奖励标准为每生每年</w:t>
      </w:r>
      <w:r>
        <w:rPr>
          <w:rFonts w:hint="eastAsia"/>
          <w:lang w:eastAsia="zh-CN"/>
        </w:rPr>
        <w:t xml:space="preserve"> 6</w:t>
      </w:r>
      <w:r>
        <w:rPr>
          <w:lang w:eastAsia="zh-CN"/>
        </w:rPr>
        <w:t>000</w:t>
      </w:r>
      <w:r>
        <w:rPr>
          <w:rFonts w:hint="eastAsia"/>
          <w:lang w:eastAsia="zh-CN"/>
        </w:rPr>
        <w:t xml:space="preserve"> </w:t>
      </w:r>
      <w:r>
        <w:rPr>
          <w:lang w:eastAsia="zh-CN"/>
        </w:rPr>
        <w:t>元。</w:t>
      </w:r>
    </w:p>
    <w:p w14:paraId="08995D1C">
      <w:pPr>
        <w:pStyle w:val="2"/>
        <w:spacing w:line="570" w:lineRule="exact"/>
        <w:ind w:firstLine="641"/>
        <w:rPr>
          <w:lang w:eastAsia="zh-CN"/>
        </w:rPr>
      </w:pPr>
      <w:r>
        <w:rPr>
          <w:lang w:eastAsia="zh-CN"/>
        </w:rPr>
        <w:t>第四条  本科生国家励志奖学金的基本申请条件：</w:t>
      </w:r>
    </w:p>
    <w:p w14:paraId="5A13292C">
      <w:pPr>
        <w:pStyle w:val="2"/>
        <w:spacing w:line="570" w:lineRule="exact"/>
        <w:ind w:firstLine="641"/>
        <w:rPr>
          <w:lang w:eastAsia="zh-CN"/>
        </w:rPr>
      </w:pPr>
      <w:r>
        <w:rPr>
          <w:lang w:eastAsia="zh-CN"/>
        </w:rPr>
        <w:t>（一）具有中华人民共和国国籍；</w:t>
      </w:r>
    </w:p>
    <w:p w14:paraId="298EF765">
      <w:pPr>
        <w:pStyle w:val="2"/>
        <w:spacing w:line="570" w:lineRule="exact"/>
        <w:ind w:firstLine="641"/>
        <w:rPr>
          <w:lang w:eastAsia="zh-CN"/>
        </w:rPr>
      </w:pPr>
      <w:r>
        <w:rPr>
          <w:lang w:eastAsia="zh-CN"/>
        </w:rPr>
        <w:t>（二）热爱社会主义祖国，拥护中国共产党的领导；</w:t>
      </w:r>
    </w:p>
    <w:p w14:paraId="42990237">
      <w:pPr>
        <w:pStyle w:val="2"/>
        <w:spacing w:line="570" w:lineRule="exact"/>
        <w:ind w:firstLine="641"/>
        <w:rPr>
          <w:lang w:eastAsia="zh-CN"/>
        </w:rPr>
      </w:pPr>
      <w:r>
        <w:rPr>
          <w:lang w:eastAsia="zh-CN"/>
        </w:rPr>
        <w:t>（三）遵守宪法和法律，遵守学校规章制度；</w:t>
      </w:r>
    </w:p>
    <w:p w14:paraId="3A5E5C7C">
      <w:pPr>
        <w:pStyle w:val="2"/>
        <w:spacing w:line="570" w:lineRule="exact"/>
        <w:ind w:firstLine="641"/>
        <w:rPr>
          <w:lang w:eastAsia="zh-CN"/>
        </w:rPr>
      </w:pPr>
      <w:r>
        <w:rPr>
          <w:lang w:eastAsia="zh-CN"/>
        </w:rPr>
        <w:t>（四）诚实守信，道德品质优良；</w:t>
      </w:r>
    </w:p>
    <w:p w14:paraId="6081C807">
      <w:pPr>
        <w:pStyle w:val="2"/>
        <w:spacing w:line="570" w:lineRule="exact"/>
        <w:ind w:firstLine="641"/>
        <w:rPr>
          <w:lang w:eastAsia="zh-CN"/>
        </w:rPr>
      </w:pPr>
      <w:r>
        <w:rPr>
          <w:lang w:eastAsia="zh-CN"/>
        </w:rPr>
        <w:t>（五）在校期间学习成绩优秀；</w:t>
      </w:r>
    </w:p>
    <w:p w14:paraId="3CF64991">
      <w:pPr>
        <w:pStyle w:val="2"/>
        <w:spacing w:line="570" w:lineRule="exact"/>
        <w:ind w:firstLine="641"/>
        <w:rPr>
          <w:lang w:eastAsia="zh-CN"/>
        </w:rPr>
        <w:sectPr>
          <w:pgSz w:w="11900" w:h="16840"/>
          <w:pgMar w:top="1431" w:right="1524" w:bottom="0" w:left="1544" w:header="0" w:footer="0" w:gutter="0"/>
          <w:cols w:space="720" w:num="1"/>
        </w:sectPr>
      </w:pPr>
    </w:p>
    <w:p w14:paraId="2F701C30">
      <w:pPr>
        <w:pStyle w:val="2"/>
        <w:spacing w:line="570" w:lineRule="exact"/>
        <w:ind w:firstLine="641"/>
        <w:rPr>
          <w:lang w:eastAsia="zh-CN"/>
        </w:rPr>
      </w:pPr>
      <w:r>
        <w:rPr>
          <w:lang w:eastAsia="zh-CN"/>
        </w:rPr>
        <w:t>（六）家庭经济困难，生活俭朴。</w:t>
      </w:r>
    </w:p>
    <w:p w14:paraId="08E6EEFB">
      <w:pPr>
        <w:pStyle w:val="2"/>
        <w:spacing w:line="570" w:lineRule="exact"/>
        <w:ind w:firstLine="641"/>
        <w:rPr>
          <w:lang w:eastAsia="zh-CN"/>
        </w:rPr>
      </w:pPr>
      <w:r>
        <w:rPr>
          <w:lang w:eastAsia="zh-CN"/>
        </w:rPr>
        <w:t>第五条  在符合基本条件的前提下，申请人还应满足以下具体 条件：</w:t>
      </w:r>
    </w:p>
    <w:p w14:paraId="6764DA50">
      <w:pPr>
        <w:pStyle w:val="2"/>
        <w:spacing w:line="570" w:lineRule="exact"/>
        <w:ind w:firstLine="641"/>
        <w:rPr>
          <w:lang w:eastAsia="zh-CN"/>
        </w:rPr>
      </w:pPr>
      <w:r>
        <w:rPr>
          <w:lang w:eastAsia="zh-CN"/>
        </w:rPr>
        <w:t>（一）年级要求：</w:t>
      </w:r>
      <w:r>
        <w:rPr>
          <w:rFonts w:hint="eastAsia"/>
          <w:lang w:eastAsia="zh-CN"/>
        </w:rPr>
        <w:t>在校本科生（含第二学士学位）中二年级以上（含二年级）的学生。因转专业而降级的学生，当年不参加评选，在降转的下一学年参评本科生国家励志奖学金。</w:t>
      </w:r>
    </w:p>
    <w:p w14:paraId="356F2E40">
      <w:pPr>
        <w:pStyle w:val="2"/>
        <w:spacing w:line="570" w:lineRule="exact"/>
        <w:ind w:firstLine="641"/>
        <w:rPr>
          <w:lang w:eastAsia="zh-CN"/>
        </w:rPr>
      </w:pPr>
      <w:r>
        <w:rPr>
          <w:lang w:eastAsia="zh-CN"/>
        </w:rPr>
        <w:t>（二）成绩要求：</w:t>
      </w:r>
      <w:r>
        <w:rPr>
          <w:rFonts w:hint="eastAsia"/>
          <w:lang w:eastAsia="zh-CN"/>
        </w:rPr>
        <w:t>参评学年内无挂科，</w:t>
      </w:r>
      <w:bookmarkStart w:id="2" w:name="OLE_LINK5"/>
      <w:r>
        <w:rPr>
          <w:rFonts w:hint="eastAsia"/>
          <w:lang w:eastAsia="zh-CN"/>
        </w:rPr>
        <w:t>学习成绩和综合素质测评成绩排名均在本年级本专业位于前</w:t>
      </w:r>
      <w:r>
        <w:rPr>
          <w:lang w:eastAsia="zh-CN"/>
        </w:rPr>
        <w:t>50%</w:t>
      </w:r>
      <w:r>
        <w:rPr>
          <w:rFonts w:hint="eastAsia"/>
          <w:lang w:eastAsia="zh-CN"/>
        </w:rPr>
        <w:t>（含</w:t>
      </w:r>
      <w:r>
        <w:rPr>
          <w:lang w:eastAsia="zh-CN"/>
        </w:rPr>
        <w:t>50%</w:t>
      </w:r>
      <w:r>
        <w:rPr>
          <w:rFonts w:hint="eastAsia"/>
          <w:lang w:eastAsia="zh-CN"/>
        </w:rPr>
        <w:t>）</w:t>
      </w:r>
      <w:bookmarkEnd w:id="2"/>
      <w:bookmarkStart w:id="3" w:name="_Hlk201075314"/>
      <w:bookmarkStart w:id="4" w:name="_Hlk199498808"/>
      <w:r>
        <w:rPr>
          <w:rFonts w:hint="eastAsia"/>
          <w:lang w:eastAsia="zh-CN"/>
        </w:rPr>
        <w:t>,超出本年级本专业</w:t>
      </w:r>
      <w:r>
        <w:rPr>
          <w:lang w:eastAsia="zh-CN"/>
        </w:rPr>
        <w:t>50%</w:t>
      </w:r>
      <w:r>
        <w:rPr>
          <w:rFonts w:hint="eastAsia"/>
          <w:lang w:eastAsia="zh-CN"/>
        </w:rPr>
        <w:t>，但在其他方面表现非常突出的家庭经济困难学生，可视情况制定突破的条件细则，但需要提交详细的证明材料</w:t>
      </w:r>
      <w:bookmarkEnd w:id="3"/>
      <w:r>
        <w:rPr>
          <w:rFonts w:hint="eastAsia"/>
          <w:lang w:eastAsia="zh-CN"/>
        </w:rPr>
        <w:t>。</w:t>
      </w:r>
    </w:p>
    <w:bookmarkEnd w:id="4"/>
    <w:p w14:paraId="0177FFF3">
      <w:pPr>
        <w:pStyle w:val="2"/>
        <w:spacing w:line="570" w:lineRule="exact"/>
        <w:ind w:firstLine="641"/>
        <w:rPr>
          <w:lang w:eastAsia="zh-CN"/>
        </w:rPr>
      </w:pPr>
      <w:r>
        <w:rPr>
          <w:lang w:eastAsia="zh-CN"/>
        </w:rPr>
        <w:t>第六条  同一学年内，申请国家励志奖学金的学生可以同时申请并获得国家助学金，但不能同时获得国家奖学金。</w:t>
      </w:r>
    </w:p>
    <w:p w14:paraId="7FAA1F82">
      <w:pPr>
        <w:spacing w:line="580" w:lineRule="exact"/>
        <w:ind w:left="2835"/>
        <w:outlineLvl w:val="0"/>
        <w:rPr>
          <w:rFonts w:ascii="黑体" w:hAnsi="黑体" w:eastAsia="黑体" w:cs="黑体"/>
          <w:sz w:val="32"/>
          <w:szCs w:val="32"/>
          <w:lang w:eastAsia="zh-CN"/>
        </w:rPr>
      </w:pPr>
      <w:r>
        <w:rPr>
          <w:rFonts w:ascii="黑体" w:hAnsi="黑体" w:eastAsia="黑体" w:cs="黑体"/>
          <w:spacing w:val="-3"/>
          <w:sz w:val="32"/>
          <w:szCs w:val="32"/>
          <w:lang w:eastAsia="zh-CN"/>
        </w:rPr>
        <w:t>第三章</w:t>
      </w:r>
      <w:r>
        <w:rPr>
          <w:rFonts w:ascii="黑体" w:hAnsi="黑体" w:eastAsia="黑体" w:cs="黑体"/>
          <w:spacing w:val="156"/>
          <w:sz w:val="32"/>
          <w:szCs w:val="32"/>
          <w:lang w:eastAsia="zh-CN"/>
        </w:rPr>
        <w:t xml:space="preserve"> </w:t>
      </w:r>
      <w:r>
        <w:rPr>
          <w:rFonts w:ascii="黑体" w:hAnsi="黑体" w:eastAsia="黑体" w:cs="黑体"/>
          <w:spacing w:val="-3"/>
          <w:sz w:val="32"/>
          <w:szCs w:val="32"/>
          <w:lang w:eastAsia="zh-CN"/>
        </w:rPr>
        <w:t>评审组织机构</w:t>
      </w:r>
    </w:p>
    <w:p w14:paraId="4B90D71D">
      <w:pPr>
        <w:pStyle w:val="2"/>
        <w:spacing w:before="175" w:line="317" w:lineRule="auto"/>
        <w:ind w:left="7" w:firstLine="613"/>
        <w:jc w:val="both"/>
        <w:rPr>
          <w:lang w:eastAsia="zh-CN"/>
        </w:rPr>
      </w:pPr>
      <w:r>
        <w:rPr>
          <w:lang w:eastAsia="zh-CN"/>
        </w:rPr>
        <w:t>第七条  学院成立本科生国家奖学金评审委员会（以下简称评审委员会），负责本学院本科生国家奖学金和国家励志奖学金的评审工作。</w:t>
      </w:r>
    </w:p>
    <w:p w14:paraId="612865E6">
      <w:pPr>
        <w:pStyle w:val="2"/>
        <w:spacing w:before="2" w:line="317" w:lineRule="auto"/>
        <w:ind w:left="17" w:firstLine="587"/>
        <w:jc w:val="both"/>
        <w:rPr>
          <w:lang w:eastAsia="zh-CN"/>
        </w:rPr>
      </w:pPr>
      <w:r>
        <w:rPr>
          <w:lang w:eastAsia="zh-CN"/>
        </w:rPr>
        <w:t>评审委员会由学院主要领导任主任委员，分管学生工作和本科生教学的领导、辅导员、班主任和学生代表（未申报当年度国家奖学金）任委员。</w:t>
      </w:r>
    </w:p>
    <w:p w14:paraId="7A508152">
      <w:pPr>
        <w:pStyle w:val="2"/>
        <w:spacing w:before="1" w:line="318" w:lineRule="auto"/>
        <w:ind w:left="17" w:firstLine="604"/>
        <w:rPr>
          <w:lang w:eastAsia="zh-CN"/>
        </w:rPr>
      </w:pPr>
      <w:r>
        <w:rPr>
          <w:lang w:eastAsia="zh-CN"/>
        </w:rPr>
        <w:t>学院评审委员会下设办公室，设在学工组，负责组织、协调本 学院的评审工作，办公室主任由学工组长兼任。</w:t>
      </w:r>
    </w:p>
    <w:p w14:paraId="15107014">
      <w:pPr>
        <w:pStyle w:val="2"/>
        <w:spacing w:before="2" w:line="317" w:lineRule="auto"/>
        <w:ind w:left="17" w:firstLine="587"/>
        <w:jc w:val="both"/>
        <w:rPr>
          <w:lang w:eastAsia="zh-CN"/>
        </w:rPr>
      </w:pPr>
      <w:r>
        <w:rPr>
          <w:lang w:eastAsia="zh-CN"/>
        </w:rPr>
        <w:t>第八条  学院评审委员会成员，应遵循以下工作要求：</w:t>
      </w:r>
    </w:p>
    <w:p w14:paraId="6B5798C5">
      <w:pPr>
        <w:pStyle w:val="2"/>
        <w:spacing w:before="2" w:line="317" w:lineRule="auto"/>
        <w:ind w:left="17" w:firstLine="587"/>
        <w:jc w:val="both"/>
        <w:rPr>
          <w:lang w:eastAsia="zh-CN"/>
        </w:rPr>
      </w:pPr>
      <w:r>
        <w:rPr>
          <w:lang w:eastAsia="zh-CN"/>
        </w:rPr>
        <w:t>（一）严格按照评审标准和规定程序认真审阅材料，听取其他 评审委员的意见，提出中肯的评审意见。</w:t>
      </w:r>
    </w:p>
    <w:p w14:paraId="6C4D296E">
      <w:pPr>
        <w:pStyle w:val="2"/>
        <w:spacing w:before="2" w:line="317" w:lineRule="auto"/>
        <w:ind w:left="17" w:firstLine="587"/>
        <w:jc w:val="both"/>
        <w:rPr>
          <w:lang w:eastAsia="zh-CN"/>
        </w:rPr>
      </w:pPr>
      <w:r>
        <w:rPr>
          <w:lang w:eastAsia="zh-CN"/>
        </w:rPr>
        <w:t>（二）发现与评审对象存在直系亲属关系、直接经济利益关系或有其他可能影响评审工作的情形，应当主动向评审委员会申请回</w:t>
      </w:r>
      <w:r>
        <w:rPr>
          <w:spacing w:val="-14"/>
          <w:lang w:eastAsia="zh-CN"/>
        </w:rPr>
        <w:t>避。</w:t>
      </w:r>
    </w:p>
    <w:p w14:paraId="2E70FC42">
      <w:pPr>
        <w:pStyle w:val="2"/>
        <w:spacing w:before="2" w:line="317" w:lineRule="auto"/>
        <w:ind w:left="17" w:firstLine="587"/>
        <w:jc w:val="both"/>
        <w:rPr>
          <w:lang w:eastAsia="zh-CN"/>
        </w:rPr>
      </w:pPr>
      <w:r>
        <w:rPr>
          <w:lang w:eastAsia="zh-CN"/>
        </w:rPr>
        <w:t>（三）受理评奖过程中的争议事项，接收申诉和组织复议</w:t>
      </w:r>
      <w:r>
        <w:rPr>
          <w:rFonts w:hint="eastAsia"/>
          <w:lang w:eastAsia="zh-CN"/>
        </w:rPr>
        <w:t>。</w:t>
      </w:r>
    </w:p>
    <w:p w14:paraId="7A104758">
      <w:pPr>
        <w:pStyle w:val="2"/>
        <w:spacing w:before="2" w:line="317" w:lineRule="auto"/>
        <w:ind w:left="17" w:firstLine="587"/>
        <w:jc w:val="both"/>
        <w:rPr>
          <w:lang w:eastAsia="zh-CN"/>
        </w:rPr>
      </w:pPr>
      <w:r>
        <w:rPr>
          <w:lang w:eastAsia="zh-CN"/>
        </w:rPr>
        <w:t>（四）不得利用评审委员的特殊身份和影响力，单独或与有关人员共同为评审对象获奖提供便利。</w:t>
      </w:r>
    </w:p>
    <w:p w14:paraId="6A3CFD17">
      <w:pPr>
        <w:pStyle w:val="2"/>
        <w:spacing w:before="2" w:line="317" w:lineRule="auto"/>
        <w:ind w:left="17" w:firstLine="587"/>
        <w:jc w:val="both"/>
        <w:rPr>
          <w:lang w:eastAsia="zh-CN"/>
        </w:rPr>
      </w:pPr>
      <w:r>
        <w:rPr>
          <w:lang w:eastAsia="zh-CN"/>
        </w:rPr>
        <w:t>（五）严格遵守保密规定，不得擅自披露评审结果、其他评审委员的意见和相关的保密信息。</w:t>
      </w:r>
    </w:p>
    <w:p w14:paraId="5359CCAF">
      <w:pPr>
        <w:spacing w:line="580" w:lineRule="exact"/>
        <w:ind w:left="2835"/>
        <w:outlineLvl w:val="0"/>
        <w:rPr>
          <w:rFonts w:ascii="黑体" w:hAnsi="黑体" w:eastAsia="黑体" w:cs="黑体"/>
          <w:spacing w:val="-3"/>
          <w:sz w:val="32"/>
          <w:szCs w:val="32"/>
          <w:lang w:eastAsia="zh-CN"/>
        </w:rPr>
      </w:pPr>
      <w:r>
        <w:rPr>
          <w:rFonts w:ascii="黑体" w:hAnsi="黑体" w:eastAsia="黑体" w:cs="黑体"/>
          <w:spacing w:val="-3"/>
          <w:sz w:val="32"/>
          <w:szCs w:val="32"/>
          <w:lang w:eastAsia="zh-CN"/>
        </w:rPr>
        <w:t>第四章  评审程序及要求</w:t>
      </w:r>
    </w:p>
    <w:p w14:paraId="471FD749">
      <w:pPr>
        <w:pStyle w:val="2"/>
        <w:spacing w:before="2" w:line="317" w:lineRule="auto"/>
        <w:ind w:left="17" w:firstLine="587"/>
        <w:jc w:val="both"/>
        <w:rPr>
          <w:lang w:eastAsia="zh-CN"/>
        </w:rPr>
      </w:pPr>
      <w:r>
        <w:rPr>
          <w:lang w:eastAsia="zh-CN"/>
        </w:rPr>
        <w:t>第九条  本科生国家励志奖学金评审坚持公开、公平、公正、择优的原则，根据学校下达指标按年级分配国家励志奖学金名额，每学年评审一次。</w:t>
      </w:r>
    </w:p>
    <w:p w14:paraId="6EB001FA">
      <w:pPr>
        <w:pStyle w:val="2"/>
        <w:spacing w:before="2" w:line="317" w:lineRule="auto"/>
        <w:ind w:left="17" w:firstLine="587"/>
        <w:jc w:val="both"/>
        <w:rPr>
          <w:lang w:eastAsia="zh-CN"/>
        </w:rPr>
      </w:pPr>
      <w:r>
        <w:rPr>
          <w:lang w:eastAsia="zh-CN"/>
        </w:rPr>
        <w:t>第十条  院评审委员会办公室于每学年初发布评审通知</w:t>
      </w:r>
      <w:r>
        <w:rPr>
          <w:rFonts w:hint="eastAsia"/>
          <w:lang w:eastAsia="zh-CN"/>
        </w:rPr>
        <w:t>，</w:t>
      </w:r>
      <w:r>
        <w:rPr>
          <w:lang w:eastAsia="zh-CN"/>
        </w:rPr>
        <w:t>参考各年级参评对象基数比例及上一年度国家励志奖学金执行情况向各年级分配国家励志奖学金名额，对低年级学生予以适当倾斜。</w:t>
      </w:r>
    </w:p>
    <w:p w14:paraId="0108D977">
      <w:pPr>
        <w:pStyle w:val="2"/>
        <w:spacing w:before="2" w:line="317" w:lineRule="auto"/>
        <w:ind w:left="17" w:firstLine="587"/>
        <w:jc w:val="both"/>
        <w:rPr>
          <w:lang w:eastAsia="zh-CN"/>
        </w:rPr>
      </w:pPr>
      <w:r>
        <w:rPr>
          <w:lang w:eastAsia="zh-CN"/>
        </w:rPr>
        <w:t>第十一条  凡符合上述第四条基本申请条件和第五条具体条件的学生，均可向所在学院提出书面申请。</w:t>
      </w:r>
    </w:p>
    <w:p w14:paraId="4B99EE1E">
      <w:pPr>
        <w:pStyle w:val="2"/>
        <w:spacing w:before="2" w:line="317" w:lineRule="auto"/>
        <w:ind w:left="17" w:firstLine="587"/>
        <w:jc w:val="both"/>
        <w:rPr>
          <w:lang w:eastAsia="zh-CN"/>
        </w:rPr>
      </w:pPr>
      <w:r>
        <w:rPr>
          <w:lang w:eastAsia="zh-CN"/>
        </w:rPr>
        <w:t xml:space="preserve">第十二条 </w:t>
      </w:r>
      <w:r>
        <w:rPr>
          <w:rFonts w:hint="eastAsia"/>
          <w:lang w:eastAsia="zh-CN"/>
        </w:rPr>
        <w:t xml:space="preserve"> </w:t>
      </w:r>
      <w:r>
        <w:rPr>
          <w:lang w:eastAsia="zh-CN"/>
        </w:rPr>
        <w:t>在保证同一年级各专业均覆盖的基础上，其余名额以本学年内学分绩点进行排序推荐。</w:t>
      </w:r>
    </w:p>
    <w:p w14:paraId="0E6EC3BA">
      <w:pPr>
        <w:pStyle w:val="2"/>
        <w:spacing w:before="2" w:line="317" w:lineRule="auto"/>
        <w:ind w:left="17" w:firstLine="587"/>
        <w:jc w:val="both"/>
        <w:rPr>
          <w:lang w:eastAsia="zh-CN"/>
        </w:rPr>
      </w:pPr>
      <w:r>
        <w:rPr>
          <w:lang w:eastAsia="zh-CN"/>
        </w:rPr>
        <w:t>第十三条  学院评审委员会组织评审并按照学校下达名额确定本学院拟推荐学生名单，在全院范围内公示</w:t>
      </w:r>
      <w:r>
        <w:rPr>
          <w:rFonts w:hint="eastAsia"/>
          <w:lang w:eastAsia="zh-CN"/>
        </w:rPr>
        <w:t xml:space="preserve"> </w:t>
      </w:r>
      <w:r>
        <w:rPr>
          <w:lang w:eastAsia="zh-CN"/>
        </w:rPr>
        <w:t>3</w:t>
      </w:r>
      <w:r>
        <w:rPr>
          <w:rFonts w:hint="eastAsia"/>
          <w:lang w:eastAsia="zh-CN"/>
        </w:rPr>
        <w:t xml:space="preserve"> </w:t>
      </w:r>
      <w:r>
        <w:rPr>
          <w:lang w:eastAsia="zh-CN"/>
        </w:rPr>
        <w:t>个工作日，无异议后将推荐学生名单和学院评审工作报告报送至领导小组办公室。</w:t>
      </w:r>
    </w:p>
    <w:p w14:paraId="4C629EF6">
      <w:pPr>
        <w:pStyle w:val="2"/>
        <w:spacing w:before="2" w:line="317" w:lineRule="auto"/>
        <w:ind w:left="17" w:firstLine="587"/>
        <w:jc w:val="both"/>
        <w:rPr>
          <w:lang w:eastAsia="zh-CN"/>
        </w:rPr>
      </w:pPr>
      <w:r>
        <w:rPr>
          <w:lang w:eastAsia="zh-CN"/>
        </w:rPr>
        <w:t>第十四条  校领导小组办公室汇总整理学院上报的推荐名单及相关材料，提出评审意见，形成评审报告，报领导小组研究审定后，在校内进行</w:t>
      </w:r>
      <w:r>
        <w:rPr>
          <w:rFonts w:hint="eastAsia"/>
          <w:lang w:eastAsia="zh-CN"/>
        </w:rPr>
        <w:t xml:space="preserve"> </w:t>
      </w:r>
      <w:r>
        <w:rPr>
          <w:lang w:eastAsia="zh-CN"/>
        </w:rPr>
        <w:t>5 个工作日的公示。公示无异议后，评选结果立即生效。</w:t>
      </w:r>
    </w:p>
    <w:p w14:paraId="48B49995">
      <w:pPr>
        <w:pStyle w:val="2"/>
        <w:spacing w:before="2" w:line="317" w:lineRule="auto"/>
        <w:ind w:left="17" w:firstLine="587"/>
        <w:jc w:val="both"/>
        <w:rPr>
          <w:lang w:eastAsia="zh-CN"/>
        </w:rPr>
      </w:pPr>
      <w:r>
        <w:rPr>
          <w:lang w:eastAsia="zh-CN"/>
        </w:rPr>
        <w:t>第十五条  对本科生国家励志奖学金评审结果有异议的学生，可在学院公示阶段向所在学院评审委员会提出申诉</w:t>
      </w:r>
      <w:r>
        <w:rPr>
          <w:rFonts w:hint="eastAsia"/>
          <w:lang w:eastAsia="zh-CN"/>
        </w:rPr>
        <w:t>，</w:t>
      </w:r>
      <w:r>
        <w:rPr>
          <w:lang w:eastAsia="zh-CN"/>
        </w:rPr>
        <w:t>学院评审委员 会应及时研究并予以答复。如学生对学院做出的答复仍存在异议，可在学校公示阶段向学校国家奖助学金评审工作领导小组提请裁决。</w:t>
      </w:r>
    </w:p>
    <w:p w14:paraId="27848367">
      <w:pPr>
        <w:pStyle w:val="2"/>
        <w:spacing w:before="2" w:line="317" w:lineRule="auto"/>
        <w:ind w:left="17" w:firstLine="587"/>
        <w:jc w:val="both"/>
        <w:rPr>
          <w:lang w:eastAsia="zh-CN"/>
        </w:rPr>
      </w:pPr>
      <w:r>
        <w:rPr>
          <w:lang w:eastAsia="zh-CN"/>
        </w:rPr>
        <w:t>第十六条  学校于每年</w:t>
      </w:r>
      <w:r>
        <w:rPr>
          <w:rFonts w:hint="eastAsia"/>
          <w:lang w:eastAsia="zh-CN"/>
        </w:rPr>
        <w:t xml:space="preserve"> </w:t>
      </w:r>
      <w:r>
        <w:rPr>
          <w:lang w:eastAsia="zh-CN"/>
        </w:rPr>
        <w:t>11 月 15 日前，将本科生国家励志奖学 金评审结果报教育部。</w:t>
      </w:r>
    </w:p>
    <w:p w14:paraId="12BCE79F">
      <w:pPr>
        <w:spacing w:line="580" w:lineRule="exact"/>
        <w:jc w:val="center"/>
        <w:outlineLvl w:val="0"/>
        <w:rPr>
          <w:rFonts w:ascii="黑体" w:hAnsi="黑体" w:eastAsia="黑体" w:cs="黑体"/>
          <w:spacing w:val="-3"/>
          <w:sz w:val="32"/>
          <w:szCs w:val="32"/>
          <w:lang w:eastAsia="zh-CN"/>
        </w:rPr>
      </w:pPr>
      <w:r>
        <w:rPr>
          <w:rFonts w:ascii="黑体" w:hAnsi="黑体" w:eastAsia="黑体" w:cs="黑体"/>
          <w:spacing w:val="-3"/>
          <w:sz w:val="32"/>
          <w:szCs w:val="32"/>
          <w:lang w:eastAsia="zh-CN"/>
        </w:rPr>
        <w:t>第五章 奖学金发放、管理与监督</w:t>
      </w:r>
    </w:p>
    <w:p w14:paraId="03B1103D">
      <w:pPr>
        <w:pStyle w:val="2"/>
        <w:spacing w:before="212" w:line="302" w:lineRule="auto"/>
        <w:ind w:left="2" w:right="249" w:firstLine="621"/>
        <w:rPr>
          <w:lang w:eastAsia="zh-CN"/>
        </w:rPr>
      </w:pPr>
      <w:r>
        <w:rPr>
          <w:spacing w:val="-22"/>
          <w:lang w:eastAsia="zh-CN"/>
        </w:rPr>
        <w:t>第十七条  学校于每年 12</w:t>
      </w:r>
      <w:r>
        <w:rPr>
          <w:spacing w:val="-40"/>
          <w:lang w:eastAsia="zh-CN"/>
        </w:rPr>
        <w:t xml:space="preserve"> </w:t>
      </w:r>
      <w:r>
        <w:rPr>
          <w:spacing w:val="-22"/>
          <w:lang w:eastAsia="zh-CN"/>
        </w:rPr>
        <w:t>月 31 日前，根据上级</w:t>
      </w:r>
      <w:r>
        <w:rPr>
          <w:spacing w:val="-23"/>
          <w:lang w:eastAsia="zh-CN"/>
        </w:rPr>
        <w:t>拨款情况将本</w:t>
      </w:r>
      <w:r>
        <w:rPr>
          <w:lang w:eastAsia="zh-CN"/>
        </w:rPr>
        <w:t xml:space="preserve"> </w:t>
      </w:r>
      <w:r>
        <w:rPr>
          <w:spacing w:val="-16"/>
          <w:lang w:eastAsia="zh-CN"/>
        </w:rPr>
        <w:t>科生国家励志奖学金一次性发放给获奖学生，颁发学校统一印制的</w:t>
      </w:r>
      <w:r>
        <w:rPr>
          <w:spacing w:val="-18"/>
          <w:lang w:eastAsia="zh-CN"/>
        </w:rPr>
        <w:t>奖励证书，并记入学生学籍档案。</w:t>
      </w:r>
    </w:p>
    <w:p w14:paraId="0DFD0CA9">
      <w:pPr>
        <w:pStyle w:val="2"/>
        <w:spacing w:before="230" w:line="302" w:lineRule="auto"/>
        <w:ind w:left="21" w:right="249" w:firstLine="602"/>
        <w:rPr>
          <w:lang w:eastAsia="zh-CN"/>
        </w:rPr>
      </w:pPr>
      <w:r>
        <w:rPr>
          <w:spacing w:val="-16"/>
          <w:lang w:eastAsia="zh-CN"/>
        </w:rPr>
        <w:t>第十八条  学院将切实加强管理，认真做好本科生国家励志奖</w:t>
      </w:r>
      <w:r>
        <w:rPr>
          <w:spacing w:val="18"/>
          <w:lang w:eastAsia="zh-CN"/>
        </w:rPr>
        <w:t xml:space="preserve"> </w:t>
      </w:r>
      <w:r>
        <w:rPr>
          <w:spacing w:val="-16"/>
          <w:lang w:eastAsia="zh-CN"/>
        </w:rPr>
        <w:t>学金的评审工作，确保国家励志奖学金真正用于奖励资助品</w:t>
      </w:r>
      <w:r>
        <w:rPr>
          <w:spacing w:val="-17"/>
          <w:lang w:eastAsia="zh-CN"/>
        </w:rPr>
        <w:t>学兼优</w:t>
      </w:r>
      <w:r>
        <w:rPr>
          <w:lang w:eastAsia="zh-CN"/>
        </w:rPr>
        <w:t xml:space="preserve"> </w:t>
      </w:r>
      <w:r>
        <w:rPr>
          <w:spacing w:val="-20"/>
          <w:lang w:eastAsia="zh-CN"/>
        </w:rPr>
        <w:t>的家庭经济困难学生，并引导获奖学生用好所获奖学金。</w:t>
      </w:r>
    </w:p>
    <w:p w14:paraId="697FEFE7">
      <w:pPr>
        <w:spacing w:line="580" w:lineRule="exact"/>
        <w:ind w:left="2835"/>
        <w:outlineLvl w:val="0"/>
        <w:rPr>
          <w:rFonts w:ascii="黑体" w:hAnsi="黑体" w:eastAsia="黑体" w:cs="黑体"/>
          <w:spacing w:val="-3"/>
          <w:sz w:val="32"/>
          <w:szCs w:val="32"/>
          <w:lang w:eastAsia="zh-CN"/>
        </w:rPr>
      </w:pPr>
      <w:r>
        <w:rPr>
          <w:rFonts w:ascii="黑体" w:hAnsi="黑体" w:eastAsia="黑体" w:cs="黑体"/>
          <w:spacing w:val="-3"/>
          <w:sz w:val="32"/>
          <w:szCs w:val="32"/>
          <w:lang w:eastAsia="zh-CN"/>
        </w:rPr>
        <w:t>第六章  附 则</w:t>
      </w:r>
    </w:p>
    <w:p w14:paraId="7D5C1F01">
      <w:pPr>
        <w:pStyle w:val="2"/>
        <w:spacing w:before="211" w:line="215" w:lineRule="auto"/>
        <w:ind w:left="624"/>
        <w:rPr>
          <w:lang w:eastAsia="zh-CN"/>
        </w:rPr>
      </w:pPr>
      <w:r>
        <w:rPr>
          <w:spacing w:val="-19"/>
          <w:lang w:eastAsia="zh-CN"/>
        </w:rPr>
        <w:t>第十九条  本办法自发文日起实施。</w:t>
      </w:r>
    </w:p>
    <w:p w14:paraId="0E2C1273">
      <w:pPr>
        <w:pStyle w:val="2"/>
        <w:spacing w:before="226" w:line="215" w:lineRule="auto"/>
        <w:ind w:left="624"/>
        <w:rPr>
          <w:rFonts w:ascii="Arial"/>
          <w:sz w:val="21"/>
          <w:lang w:eastAsia="zh-CN"/>
        </w:rPr>
      </w:pPr>
      <w:r>
        <w:rPr>
          <w:spacing w:val="-18"/>
          <w:lang w:eastAsia="zh-CN"/>
        </w:rPr>
        <w:t>第二十条  本办法由经济管理学院学工组负责解释。</w:t>
      </w:r>
    </w:p>
    <w:sectPr>
      <w:headerReference r:id="rId3" w:type="default"/>
      <w:footerReference r:id="rId4" w:type="default"/>
      <w:pgSz w:w="11900" w:h="16840"/>
      <w:pgMar w:top="1843" w:right="1785" w:bottom="1902" w:left="1785" w:header="0" w:footer="158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仿宋_GB2312">
    <w:altName w:val="方正仿宋_GBK"/>
    <w:panose1 w:val="02010609030101010101"/>
    <w:charset w:val="86"/>
    <w:family w:val="modern"/>
    <w:pitch w:val="default"/>
    <w:sig w:usb0="00000000" w:usb1="00000000" w:usb2="00000010" w:usb3="00000000" w:csb0="00040000" w:csb1="00000000"/>
  </w:font>
  <w:font w:name="FangSong_GB2312">
    <w:panose1 w:val="00020600040101010101"/>
    <w:charset w:val="86"/>
    <w:family w:val="auto"/>
    <w:pitch w:val="default"/>
    <w:sig w:usb0="A00002BF" w:usb1="3ACF7CFA" w:usb2="00000016" w:usb3="00000000" w:csb0="0004009F" w:csb1="DFD70000"/>
  </w:font>
  <w:font w:name="方正大标宋简体">
    <w:altName w:val="汉仪书宋二KW"/>
    <w:panose1 w:val="00000000000000000000"/>
    <w:charset w:val="86"/>
    <w:family w:val="script"/>
    <w:pitch w:val="default"/>
    <w:sig w:usb0="00000000" w:usb1="00000000" w:usb2="00000010"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
    <w:altName w:val="苹方-简"/>
    <w:panose1 w:val="00000000000000000000"/>
    <w:charset w:val="00"/>
    <w:family w:val="auto"/>
    <w:pitch w:val="default"/>
    <w:sig w:usb0="00000000" w:usb1="00000000" w:usb2="00000000" w:usb3="00000000" w:csb0="00000001" w:csb1="00000000"/>
  </w:font>
  <w:font w:name="Segoe Print">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E1008">
    <w:pPr>
      <w:spacing w:line="232" w:lineRule="auto"/>
      <w:ind w:left="7364"/>
      <w:rPr>
        <w:rFonts w:ascii="宋体" w:hAnsi="宋体" w:eastAsia="宋体" w:cs="宋体"/>
        <w:sz w:val="24"/>
        <w:szCs w:val="24"/>
      </w:rPr>
    </w:pPr>
    <w:r>
      <w:rPr>
        <w:rFonts w:ascii="宋体" w:hAnsi="宋体" w:eastAsia="宋体" w:cs="宋体"/>
        <w:spacing w:val="-8"/>
        <w:sz w:val="24"/>
        <w:szCs w:val="24"/>
      </w:rPr>
      <w:t>—</w:t>
    </w:r>
    <w:r>
      <w:rPr>
        <w:rFonts w:ascii="宋体" w:hAnsi="宋体" w:eastAsia="宋体" w:cs="宋体"/>
        <w:spacing w:val="15"/>
        <w:sz w:val="24"/>
        <w:szCs w:val="24"/>
      </w:rPr>
      <w:t xml:space="preserve"> </w:t>
    </w:r>
    <w:r>
      <w:rPr>
        <w:rFonts w:ascii="宋体" w:hAnsi="宋体" w:eastAsia="宋体" w:cs="宋体"/>
        <w:spacing w:val="-8"/>
        <w:sz w:val="24"/>
        <w:szCs w:val="24"/>
      </w:rPr>
      <w:t>5</w:t>
    </w:r>
    <w:r>
      <w:rPr>
        <w:rFonts w:ascii="宋体" w:hAnsi="宋体" w:eastAsia="宋体" w:cs="宋体"/>
        <w:spacing w:val="8"/>
        <w:sz w:val="24"/>
        <w:szCs w:val="24"/>
      </w:rPr>
      <w:t xml:space="preserve"> </w:t>
    </w:r>
    <w:r>
      <w:rPr>
        <w:rFonts w:ascii="宋体" w:hAnsi="宋体" w:eastAsia="宋体" w:cs="宋体"/>
        <w:spacing w:val="-8"/>
        <w:sz w:val="24"/>
        <w:szCs w:val="24"/>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B19D4">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797011"/>
    <w:rsid w:val="000D7BC1"/>
    <w:rsid w:val="0032268B"/>
    <w:rsid w:val="003F34B7"/>
    <w:rsid w:val="00555ABB"/>
    <w:rsid w:val="00797011"/>
    <w:rsid w:val="009A0F33"/>
    <w:rsid w:val="00A13476"/>
    <w:rsid w:val="00AA0D6C"/>
    <w:rsid w:val="00BB709B"/>
    <w:rsid w:val="00C837F8"/>
    <w:rsid w:val="01011846"/>
    <w:rsid w:val="72450676"/>
    <w:rsid w:val="FFFE82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仿宋_GB2312" w:hAnsi="仿宋_GB2312" w:eastAsia="仿宋_GB2312" w:cs="仿宋_GB2312"/>
      <w:sz w:val="32"/>
      <w:szCs w:val="32"/>
    </w:rPr>
  </w:style>
  <w:style w:type="paragraph" w:styleId="3">
    <w:name w:val="footer"/>
    <w:basedOn w:val="1"/>
    <w:link w:val="9"/>
    <w:uiPriority w:val="0"/>
    <w:pPr>
      <w:tabs>
        <w:tab w:val="center" w:pos="4153"/>
        <w:tab w:val="right" w:pos="8306"/>
      </w:tabs>
    </w:pPr>
    <w:rPr>
      <w:sz w:val="18"/>
      <w:szCs w:val="18"/>
    </w:rPr>
  </w:style>
  <w:style w:type="paragraph" w:styleId="4">
    <w:name w:val="header"/>
    <w:basedOn w:val="1"/>
    <w:link w:val="8"/>
    <w:uiPriority w:val="0"/>
    <w:pPr>
      <w:pBdr>
        <w:bottom w:val="single" w:color="auto" w:sz="6" w:space="1"/>
      </w:pBd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页眉 字符"/>
    <w:basedOn w:val="6"/>
    <w:link w:val="4"/>
    <w:uiPriority w:val="0"/>
    <w:rPr>
      <w:rFonts w:eastAsia="Arial"/>
      <w:snapToGrid w:val="0"/>
      <w:color w:val="000000"/>
      <w:sz w:val="18"/>
      <w:szCs w:val="18"/>
      <w:lang w:eastAsia="en-US"/>
    </w:rPr>
  </w:style>
  <w:style w:type="character" w:customStyle="1" w:styleId="9">
    <w:name w:val="页脚 字符"/>
    <w:basedOn w:val="6"/>
    <w:link w:val="3"/>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298</Words>
  <Characters>1705</Characters>
  <Lines>14</Lines>
  <Paragraphs>3</Paragraphs>
  <TotalTime>14</TotalTime>
  <ScaleCrop>false</ScaleCrop>
  <LinksUpToDate>false</LinksUpToDate>
  <CharactersWithSpaces>2000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2021-10-07T18:04:00Z</dcterms:created>
  <dc:creator>Administrator</dc:creator>
  <cp:lastModifiedBy>桑榆未晚</cp:lastModifiedBy>
  <dcterms:modified xsi:type="dcterms:W3CDTF">2026-09-30T16:29:02Z</dcterms:modified>
  <dc:title>Microsoft Word - 经管学院国家励志奖学金评审细则20201005.docx</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2025-09-30T20:34:26Z</vt:filetime>
  </property>
  <property fmtid="{D5CDD505-2E9C-101B-9397-08002B2CF9AE}" pid="4" name="KSOTemplateDocerSaveRecord">
    <vt:lpwstr>eyJoZGlkIjoiZDZkNzVjOTMxM2E3ODIxMTM3ZjlkNmRjNGRmMTE1ODIiLCJ1c2VySWQiOiI0MTgyMDIyODEifQ==</vt:lpwstr>
  </property>
  <property fmtid="{D5CDD505-2E9C-101B-9397-08002B2CF9AE}" pid="5" name="KSOProductBuildVer">
    <vt:lpwstr>2052-12.1.24031.24031</vt:lpwstr>
  </property>
  <property fmtid="{D5CDD505-2E9C-101B-9397-08002B2CF9AE}" pid="6" name="ICV">
    <vt:lpwstr>E4D6F98F8A2DDB2F4EC8BC6A0E03D1D4_43</vt:lpwstr>
  </property>
</Properties>
</file>